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76C" w:rsidRPr="00657009" w:rsidRDefault="008E076C" w:rsidP="00BC3E06">
      <w:pPr>
        <w:spacing w:after="0" w:line="240" w:lineRule="auto"/>
        <w:rPr>
          <w:rFonts w:ascii="Times New Roman" w:hAnsi="Times New Roman"/>
          <w:sz w:val="24"/>
          <w:szCs w:val="24"/>
        </w:rPr>
      </w:pPr>
      <w:bookmarkStart w:id="0" w:name="_GoBack"/>
      <w:bookmarkEnd w:id="0"/>
    </w:p>
    <w:p w:rsidR="007D1E76" w:rsidRPr="00E74967" w:rsidRDefault="007D1E76" w:rsidP="007D1E76">
      <w:pPr>
        <w:spacing w:after="0" w:line="240" w:lineRule="auto"/>
        <w:jc w:val="center"/>
        <w:rPr>
          <w:rFonts w:cs="Calibri"/>
          <w:b/>
          <w:sz w:val="28"/>
          <w:szCs w:val="28"/>
        </w:rPr>
      </w:pPr>
      <w:hyperlink r:id="rId8" w:history="1">
        <w:r w:rsidRPr="00E74967">
          <w:rPr>
            <w:rStyle w:val="Hipervnculo"/>
            <w:rFonts w:cs="Calibri"/>
            <w:b/>
            <w:sz w:val="28"/>
            <w:szCs w:val="28"/>
          </w:rPr>
          <w:t>NOTAS DE GESTIÓN ADMI</w:t>
        </w:r>
        <w:r w:rsidRPr="00E74967">
          <w:rPr>
            <w:rStyle w:val="Hipervnculo"/>
            <w:rFonts w:cs="Calibri"/>
            <w:b/>
            <w:sz w:val="28"/>
            <w:szCs w:val="28"/>
          </w:rPr>
          <w:t>N</w:t>
        </w:r>
        <w:r w:rsidRPr="00E74967">
          <w:rPr>
            <w:rStyle w:val="Hipervnculo"/>
            <w:rFonts w:cs="Calibri"/>
            <w:b/>
            <w:sz w:val="28"/>
            <w:szCs w:val="28"/>
          </w:rPr>
          <w:t>I</w:t>
        </w:r>
        <w:r w:rsidRPr="00E74967">
          <w:rPr>
            <w:rStyle w:val="Hipervnculo"/>
            <w:rFonts w:cs="Calibri"/>
            <w:b/>
            <w:sz w:val="28"/>
            <w:szCs w:val="28"/>
          </w:rPr>
          <w:t>STRATIVA</w:t>
        </w:r>
      </w:hyperlink>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rsidR="007D1E76" w:rsidRPr="00E74967" w:rsidRDefault="007D1E76" w:rsidP="007D1E76">
      <w:pPr>
        <w:pStyle w:val="Prrafodelista"/>
        <w:spacing w:after="0" w:line="240" w:lineRule="auto"/>
        <w:jc w:val="both"/>
        <w:rPr>
          <w:rFonts w:cs="Calibri"/>
        </w:rPr>
      </w:pPr>
    </w:p>
    <w:p w:rsidR="007D1E76" w:rsidRPr="00E74967" w:rsidRDefault="007D1E76" w:rsidP="007D1E76">
      <w:pPr>
        <w:pStyle w:val="Prrafodelista"/>
        <w:numPr>
          <w:ilvl w:val="0"/>
          <w:numId w:val="1"/>
        </w:numPr>
        <w:spacing w:after="0" w:line="240" w:lineRule="auto"/>
        <w:jc w:val="both"/>
        <w:rPr>
          <w:rFonts w:cs="Calibri"/>
        </w:rPr>
      </w:pPr>
      <w:r w:rsidRPr="00E74967">
        <w:rPr>
          <w:rFonts w:cs="Calibri"/>
        </w:rPr>
        <w:t>Las notas de gestión administrativa deben contener los siguientes puntos: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1. Introducción:</w:t>
      </w:r>
    </w:p>
    <w:p w:rsidR="007D1E76" w:rsidRPr="00E74967" w:rsidRDefault="007D1E76" w:rsidP="007D1E76">
      <w:pPr>
        <w:spacing w:after="0" w:line="240" w:lineRule="auto"/>
        <w:jc w:val="both"/>
        <w:rPr>
          <w:rFonts w:cs="Calibri"/>
        </w:rPr>
      </w:pPr>
      <w:r w:rsidRPr="00E74967">
        <w:rPr>
          <w:rFonts w:cs="Calibri"/>
        </w:rPr>
        <w:t>Breve descripción de las actividades principales de la entidad.</w:t>
      </w:r>
    </w:p>
    <w:p w:rsidR="007D1E76" w:rsidRPr="00E74967" w:rsidRDefault="00992299" w:rsidP="007D1E76">
      <w:pPr>
        <w:spacing w:after="0" w:line="240" w:lineRule="auto"/>
        <w:jc w:val="both"/>
        <w:rPr>
          <w:rFonts w:cs="Calibri"/>
        </w:rPr>
      </w:pPr>
      <w:r w:rsidRPr="00992299">
        <w:rPr>
          <w:rFonts w:cs="Calibri"/>
          <w:u w:val="single"/>
        </w:rPr>
        <w:t>El Itess  es una institución de relativamente reciente creación y su actividad consiste principalmente en formar profesionistas para lograr el desarrollo económico y cultural del estado de Guanajuato el cual incrementó su matrícula en 13% con respecto al Ejercicio anterior. De 751 a 854 estudiantes Se ofertó un nuevo programa educativo, para contar con 5 en total</w:t>
      </w:r>
      <w:r w:rsidR="007D1E76" w:rsidRPr="00992299">
        <w:rPr>
          <w:rFonts w:cs="Calibri"/>
          <w:u w:val="single"/>
        </w:rPr>
        <w:t>___</w:t>
      </w:r>
      <w:r w:rsidR="00D95D8F" w:rsidRPr="00D95D8F">
        <w:rPr>
          <w:rFonts w:cs="Calibri"/>
          <w:u w:val="single"/>
        </w:rPr>
        <w:t xml:space="preserve"> se espera contar con una matrícula superior a los 950 estudiantes, incrementando en un 11% con respecto al 2014</w:t>
      </w:r>
      <w:r w:rsidR="007D1E76" w:rsidRPr="00992299">
        <w:rPr>
          <w:rFonts w:cs="Calibri"/>
          <w:u w:val="single"/>
        </w:rPr>
        <w:t>_________________________________________________________________________________</w:t>
      </w:r>
      <w:r w:rsidR="007D1E76" w:rsidRPr="00E74967">
        <w:rPr>
          <w:rFonts w:cs="Calibri"/>
        </w:rPr>
        <w:t>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rsidR="007D1E76" w:rsidRPr="00E74967" w:rsidRDefault="00D95D8F" w:rsidP="007D1E76">
      <w:pPr>
        <w:spacing w:after="0" w:line="240" w:lineRule="auto"/>
        <w:jc w:val="both"/>
        <w:rPr>
          <w:rFonts w:cs="Calibri"/>
        </w:rPr>
      </w:pPr>
      <w:r w:rsidRPr="00D95D8F">
        <w:rPr>
          <w:rFonts w:cs="Calibri"/>
          <w:u w:val="single"/>
        </w:rPr>
        <w:t>En el presente ejercicio se gestionaron recursos para seguir con la edificación  de la unidad de vinculación.</w:t>
      </w:r>
      <w:r w:rsidR="007D1E76" w:rsidRPr="00D95D8F">
        <w:rPr>
          <w:rFonts w:cs="Calibri"/>
          <w:u w:val="single"/>
        </w:rPr>
        <w:t>______________________________________________________________________________</w:t>
      </w:r>
      <w:r w:rsidRPr="00D95D8F">
        <w:t xml:space="preserve"> </w:t>
      </w:r>
      <w:r w:rsidRPr="00D95D8F">
        <w:rPr>
          <w:rFonts w:cs="Calibri"/>
          <w:u w:val="single"/>
        </w:rPr>
        <w:t>El ente público operó con base a la normativa aplicable, las metas establecidas y el plan de trabajo anual.</w:t>
      </w:r>
      <w:r w:rsidR="007D1E76" w:rsidRPr="00E74967">
        <w:rPr>
          <w:rFonts w:cs="Calibri"/>
        </w:rPr>
        <w:t>__</w:t>
      </w:r>
      <w:r w:rsidR="006C4A0F" w:rsidRPr="00E74967">
        <w:rPr>
          <w:rFonts w:cs="Calibri"/>
        </w:rPr>
        <w:t xml:space="preserve"> </w:t>
      </w:r>
    </w:p>
    <w:p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informará sobre: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Fecha de creación del ente.</w:t>
      </w:r>
    </w:p>
    <w:p w:rsidR="00D95D8F" w:rsidRPr="00D95D8F" w:rsidRDefault="00D95D8F" w:rsidP="007D1E76">
      <w:pPr>
        <w:spacing w:after="0" w:line="240" w:lineRule="auto"/>
        <w:jc w:val="both"/>
        <w:rPr>
          <w:rFonts w:cs="Calibri"/>
          <w:u w:val="single"/>
        </w:rPr>
      </w:pPr>
      <w:r w:rsidRPr="00D95D8F">
        <w:rPr>
          <w:rFonts w:cs="Calibri"/>
          <w:u w:val="single"/>
        </w:rPr>
        <w:t>La institución nace por decreto en agosto de 2009.</w:t>
      </w:r>
      <w:r w:rsidR="007D1E76" w:rsidRPr="00D95D8F">
        <w:rPr>
          <w:rFonts w:cs="Calibri"/>
          <w:u w:val="single"/>
        </w:rPr>
        <w:t>_</w:t>
      </w:r>
    </w:p>
    <w:p w:rsidR="00D95D8F" w:rsidRDefault="00D95D8F"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rsidR="007D1E76" w:rsidRPr="00D95D8F" w:rsidRDefault="00D95D8F" w:rsidP="007D1E76">
      <w:pPr>
        <w:spacing w:after="0" w:line="240" w:lineRule="auto"/>
        <w:jc w:val="both"/>
        <w:rPr>
          <w:rFonts w:cs="Calibri"/>
          <w:u w:val="single"/>
        </w:rPr>
      </w:pPr>
      <w:r w:rsidRPr="00D95D8F">
        <w:rPr>
          <w:rFonts w:cs="Calibri"/>
          <w:u w:val="single"/>
        </w:rPr>
        <w:t>Por incremento de matrícula pasó de estructura A a B, la B es para más de 550 estudiantes. Por la matrícula por recibir se cumplirían los requisitos para tener la estructura C.</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informará sobre: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lastRenderedPageBreak/>
        <w:t>a)</w:t>
      </w:r>
      <w:r w:rsidRPr="00E74967">
        <w:rPr>
          <w:rFonts w:cs="Calibri"/>
        </w:rPr>
        <w:t xml:space="preserve"> Objeto social.</w:t>
      </w:r>
    </w:p>
    <w:p w:rsidR="007D1E76" w:rsidRPr="00E74967" w:rsidRDefault="00CD3A16" w:rsidP="007D1E76">
      <w:pPr>
        <w:spacing w:after="0" w:line="240" w:lineRule="auto"/>
        <w:jc w:val="both"/>
        <w:rPr>
          <w:rFonts w:cs="Calibri"/>
        </w:rPr>
      </w:pPr>
      <w:r w:rsidRPr="00CD3A16">
        <w:rPr>
          <w:rFonts w:cs="Calibri"/>
          <w:u w:val="single"/>
        </w:rPr>
        <w:t>_ Contribuir, a través del proceso educativo, a mejorar las condiciones  de vida de los guanajuatenses</w:t>
      </w:r>
      <w:r w:rsidRPr="00CD3A16">
        <w:rPr>
          <w:rFonts w:cs="Calibri"/>
        </w:rPr>
        <w:t xml:space="preserve"> </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rsidR="007D1E76" w:rsidRPr="00CD3A16" w:rsidRDefault="00CD3A16" w:rsidP="007D1E76">
      <w:pPr>
        <w:spacing w:after="0" w:line="240" w:lineRule="auto"/>
        <w:jc w:val="both"/>
        <w:rPr>
          <w:rFonts w:cs="Calibri"/>
          <w:u w:val="single"/>
        </w:rPr>
      </w:pPr>
      <w:r w:rsidRPr="00CD3A16">
        <w:rPr>
          <w:rFonts w:cs="Calibri"/>
          <w:u w:val="single"/>
        </w:rPr>
        <w:t>Ofertar Educación Superior Tecnológica</w:t>
      </w:r>
    </w:p>
    <w:p w:rsidR="00CD3A16" w:rsidRPr="00E74967" w:rsidRDefault="00CD3A1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(mencionar por ejemplo: enero a diciembre de 201</w:t>
      </w:r>
      <w:r w:rsidR="00657009" w:rsidRPr="00E74967">
        <w:rPr>
          <w:rFonts w:cs="Calibri"/>
        </w:rPr>
        <w:t>5</w:t>
      </w:r>
      <w:r w:rsidRPr="00E74967">
        <w:rPr>
          <w:rFonts w:cs="Calibri"/>
        </w:rPr>
        <w:t>).</w:t>
      </w:r>
    </w:p>
    <w:p w:rsidR="007D1E76" w:rsidRPr="00E74967" w:rsidRDefault="00CD3A16" w:rsidP="007D1E76">
      <w:pPr>
        <w:spacing w:after="0" w:line="240" w:lineRule="auto"/>
        <w:jc w:val="both"/>
        <w:rPr>
          <w:rFonts w:cs="Calibri"/>
        </w:rPr>
      </w:pPr>
      <w:r>
        <w:rPr>
          <w:rFonts w:cs="Calibri"/>
          <w:u w:val="single"/>
        </w:rPr>
        <w:t>Enero a Diciembre de 2015</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rsidR="007D1E76" w:rsidRPr="00CD3A16" w:rsidRDefault="00CD3A16" w:rsidP="007D1E76">
      <w:pPr>
        <w:spacing w:after="0" w:line="240" w:lineRule="auto"/>
        <w:jc w:val="both"/>
        <w:rPr>
          <w:rFonts w:cs="Calibri"/>
          <w:u w:val="single"/>
        </w:rPr>
      </w:pPr>
      <w:r w:rsidRPr="00CD3A16">
        <w:rPr>
          <w:rFonts w:cs="Calibri"/>
          <w:u w:val="single"/>
        </w:rPr>
        <w:t xml:space="preserve">.   Personas morales sin fines de lucro. </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rsidR="007D1E76" w:rsidRPr="00CD3A16" w:rsidRDefault="00CD3A16" w:rsidP="007D1E76">
      <w:pPr>
        <w:spacing w:after="0" w:line="240" w:lineRule="auto"/>
        <w:jc w:val="both"/>
        <w:rPr>
          <w:rFonts w:cs="Calibri"/>
          <w:u w:val="single"/>
        </w:rPr>
      </w:pPr>
      <w:r w:rsidRPr="00CD3A16">
        <w:rPr>
          <w:rFonts w:cs="Calibri"/>
          <w:u w:val="single"/>
        </w:rPr>
        <w:t>Retener y Enterar ISR por Salarios, Retener y enterar ISR por arrendamiento, Retener y enterar ISR por retención sobre honorarios. Impuesto estatal sobre nominas, Retener y enterar impuesto estatal cedular por honorarios y arrendamiento</w:t>
      </w:r>
    </w:p>
    <w:p w:rsidR="00CD3A16" w:rsidRPr="00E74967" w:rsidRDefault="00CD3A16" w:rsidP="007D1E76">
      <w:pPr>
        <w:spacing w:after="0" w:line="240" w:lineRule="auto"/>
        <w:jc w:val="both"/>
        <w:rPr>
          <w:rFonts w:cs="Calibri"/>
        </w:rPr>
      </w:pPr>
    </w:p>
    <w:p w:rsidR="007D1E76" w:rsidRPr="00E74967" w:rsidRDefault="00CD3A16" w:rsidP="007D1E76">
      <w:pPr>
        <w:spacing w:after="0" w:line="240" w:lineRule="auto"/>
        <w:jc w:val="both"/>
        <w:rPr>
          <w:rFonts w:cs="Calibri"/>
        </w:rPr>
      </w:pPr>
      <w:r>
        <w:rPr>
          <w:rFonts w:cs="Calibri"/>
          <w:noProof/>
          <w:lang w:eastAsia="es-MX"/>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3" o:spid="_x0000_s1028" type="#_x0000_t75" style="position:absolute;left:0;text-align:left;margin-left:-35.25pt;margin-top:11.3pt;width:438.8pt;height:259.55pt;z-index:251657728;mso-wrap-style:tight" fillcolor="#bbe0e3">
            <v:imagedata r:id="rId9" o:title=""/>
          </v:shape>
          <o:OLEObject Type="Embed" ProgID="Visio.Drawing.11" ShapeID="Object 33" DrawAspect="Content" ObjectID="_1587291000" r:id="rId10"/>
        </w:object>
      </w:r>
      <w:r w:rsidR="007D1E76" w:rsidRPr="00E74967">
        <w:rPr>
          <w:rFonts w:cs="Calibri"/>
          <w:b/>
        </w:rPr>
        <w:t>f)</w:t>
      </w:r>
      <w:r w:rsidR="007D1E76" w:rsidRPr="00E74967">
        <w:rPr>
          <w:rFonts w:cs="Calibri"/>
        </w:rPr>
        <w:t xml:space="preserve"> Estructura organizacional básica.</w:t>
      </w:r>
    </w:p>
    <w:p w:rsidR="007D1E76" w:rsidRDefault="007D1E7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Default="00CD3A16" w:rsidP="007D1E76">
      <w:pPr>
        <w:spacing w:after="0" w:line="240" w:lineRule="auto"/>
        <w:ind w:firstLine="708"/>
        <w:jc w:val="both"/>
        <w:rPr>
          <w:rFonts w:cs="Calibri"/>
        </w:rPr>
      </w:pPr>
    </w:p>
    <w:p w:rsidR="00CD3A16" w:rsidRPr="00E74967" w:rsidRDefault="00CD3A16" w:rsidP="007D1E76">
      <w:pPr>
        <w:spacing w:after="0" w:line="240" w:lineRule="auto"/>
        <w:ind w:firstLine="708"/>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rsidR="007D1E76" w:rsidRPr="00E74967" w:rsidRDefault="00CD3A16" w:rsidP="007D1E76">
      <w:pPr>
        <w:spacing w:after="0" w:line="240" w:lineRule="auto"/>
        <w:jc w:val="both"/>
        <w:rPr>
          <w:rFonts w:cs="Calibri"/>
        </w:rPr>
      </w:pPr>
      <w:r>
        <w:rPr>
          <w:rFonts w:cs="Calibri"/>
          <w:u w:val="single"/>
        </w:rPr>
        <w:t>NO APLICA</w:t>
      </w:r>
      <w:r w:rsidR="007D1E76" w:rsidRPr="00E74967">
        <w:rPr>
          <w:rFonts w:cs="Calibri"/>
        </w:rPr>
        <w:t>_____________________________________________________</w:t>
      </w:r>
      <w:r w:rsidR="00657009" w:rsidRPr="00657009">
        <w:rPr>
          <w:rFonts w:cs="Calibri"/>
        </w:rPr>
        <w:t>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rsidR="007D1E76" w:rsidRPr="00E74967" w:rsidRDefault="007D1E76" w:rsidP="007D1E76">
      <w:pPr>
        <w:spacing w:after="0" w:line="240" w:lineRule="auto"/>
        <w:jc w:val="both"/>
        <w:rPr>
          <w:rFonts w:cs="Calibri"/>
        </w:rPr>
      </w:pPr>
      <w:r w:rsidRPr="00E74967">
        <w:rPr>
          <w:rFonts w:cs="Calibri"/>
        </w:rPr>
        <w:t>Se informará sobre: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rsidR="00CD3A16" w:rsidRPr="00CD3A16" w:rsidRDefault="00CD3A16" w:rsidP="00CD3A16">
      <w:pPr>
        <w:jc w:val="both"/>
        <w:rPr>
          <w:u w:val="single"/>
        </w:rPr>
      </w:pPr>
      <w:r w:rsidRPr="00CD3A16">
        <w:rPr>
          <w:u w:val="single"/>
        </w:rPr>
        <w:t>Las Bases de Preparación de los Estados Financieros observan  la normatividad emitida por el CONAC y las disposiciones legales aplicables. Tales como plan de cuentas, clasificador por objeto de gastos, clasificador por rubro de ingresos.</w:t>
      </w:r>
    </w:p>
    <w:p w:rsidR="007D1E76" w:rsidRPr="00E74967" w:rsidRDefault="007D1E76" w:rsidP="007D1E76">
      <w:pPr>
        <w:spacing w:after="0" w:line="240" w:lineRule="auto"/>
        <w:jc w:val="both"/>
        <w:rPr>
          <w:rFonts w:cs="Calibri"/>
        </w:rPr>
      </w:pPr>
    </w:p>
    <w:p w:rsidR="007D1E76" w:rsidRDefault="007D1E76" w:rsidP="007D1E76">
      <w:pPr>
        <w:spacing w:after="0" w:line="240" w:lineRule="auto"/>
        <w:jc w:val="both"/>
        <w:rPr>
          <w:rFonts w:cs="Calibri"/>
        </w:rPr>
      </w:pPr>
      <w:r w:rsidRPr="00E74967">
        <w:rPr>
          <w:rFonts w:cs="Calibri"/>
          <w:b/>
        </w:rPr>
        <w:lastRenderedPageBreak/>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6A6A7F" w:rsidRPr="00E74967" w:rsidRDefault="006A6A7F" w:rsidP="007D1E76">
      <w:pPr>
        <w:spacing w:after="0" w:line="240" w:lineRule="auto"/>
        <w:jc w:val="both"/>
        <w:rPr>
          <w:rFonts w:cs="Calibri"/>
        </w:rPr>
      </w:pPr>
    </w:p>
    <w:p w:rsidR="00CD3A16" w:rsidRPr="00CD3A16" w:rsidRDefault="00CD3A16" w:rsidP="00CD3A16">
      <w:pPr>
        <w:spacing w:after="0" w:line="240" w:lineRule="auto"/>
        <w:jc w:val="both"/>
        <w:rPr>
          <w:rFonts w:ascii="Times New Roman" w:hAnsi="Times New Roman"/>
          <w:sz w:val="24"/>
          <w:szCs w:val="24"/>
        </w:rPr>
      </w:pPr>
      <w:r w:rsidRPr="00CD3A16">
        <w:rPr>
          <w:u w:val="single"/>
        </w:rPr>
        <w:t>Las Bases de Preparación de los Estados Financieros observan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7D1E76" w:rsidRPr="00E74967" w:rsidRDefault="007D1E76" w:rsidP="007D1E76">
      <w:pPr>
        <w:spacing w:after="0" w:line="240" w:lineRule="auto"/>
        <w:jc w:val="both"/>
        <w:rPr>
          <w:rFonts w:cs="Calibri"/>
        </w:rPr>
      </w:pPr>
    </w:p>
    <w:p w:rsidR="007D1E76"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rsidR="006A6A7F" w:rsidRPr="00E74967" w:rsidRDefault="006A6A7F" w:rsidP="007D1E76">
      <w:pPr>
        <w:spacing w:after="0" w:line="240" w:lineRule="auto"/>
        <w:jc w:val="both"/>
        <w:rPr>
          <w:rFonts w:cs="Calibri"/>
        </w:rPr>
      </w:pPr>
    </w:p>
    <w:p w:rsidR="005E4C5B" w:rsidRDefault="006A6A7F" w:rsidP="00CA4C96">
      <w:pPr>
        <w:jc w:val="both"/>
        <w:rPr>
          <w:u w:val="single"/>
        </w:rPr>
      </w:pPr>
      <w:r w:rsidRPr="006A6A7F">
        <w:rPr>
          <w:u w:val="single"/>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rsidR="005E4C5B" w:rsidRDefault="006A6A7F" w:rsidP="00CA4C96">
      <w:pPr>
        <w:jc w:val="both"/>
        <w:rPr>
          <w:u w:val="single"/>
        </w:rPr>
      </w:pPr>
      <w:r w:rsidRPr="006A6A7F">
        <w:rPr>
          <w:u w:val="single"/>
        </w:rPr>
        <w:t>ENTE PÚBLICO El organismo cuenta con el Reglamento Orgánico, en el que se establecen sus objetivos, su ámbito de acción y sus limitaciones; con atribuciones para asumir derechos y contraer obligaciones.</w:t>
      </w:r>
    </w:p>
    <w:p w:rsidR="005E4C5B" w:rsidRDefault="006A6A7F" w:rsidP="00CA4C96">
      <w:pPr>
        <w:jc w:val="both"/>
        <w:rPr>
          <w:u w:val="single"/>
        </w:rPr>
      </w:pPr>
      <w:r w:rsidRPr="006A6A7F">
        <w:rPr>
          <w:u w:val="single"/>
        </w:rPr>
        <w:t xml:space="preserve"> EXISTENCIA PERMANENTE La actividad del organismo público al no tener fecha de término se asume por tiempo indefinido, por lo que el sistema contable del organismo es considerado por el mismo periodo de vida.</w:t>
      </w:r>
    </w:p>
    <w:p w:rsidR="005E4C5B" w:rsidRDefault="006A6A7F" w:rsidP="00CA4C96">
      <w:pPr>
        <w:jc w:val="both"/>
        <w:rPr>
          <w:u w:val="single"/>
        </w:rPr>
      </w:pPr>
      <w:r w:rsidRPr="006A6A7F">
        <w:rPr>
          <w:u w:val="single"/>
        </w:rPr>
        <w:t xml:space="preserve"> REVELACION SUFICIENTE Los estados y la información financiera muestran amplia y claramente la situación financiera y los resultados del organismo.</w:t>
      </w:r>
    </w:p>
    <w:p w:rsidR="005E4C5B" w:rsidRDefault="006A6A7F" w:rsidP="00CA4C96">
      <w:pPr>
        <w:jc w:val="both"/>
        <w:rPr>
          <w:u w:val="single"/>
        </w:rPr>
      </w:pPr>
      <w:r w:rsidRPr="006A6A7F">
        <w:rPr>
          <w:u w:val="single"/>
        </w:rPr>
        <w:t xml:space="preserve"> IMPORTANCIA RELATIVA La información correspondiente al presente periodo muestran los aspectos más importantes de la entidad que fueron reconocidos contablemente. </w:t>
      </w:r>
    </w:p>
    <w:p w:rsidR="005E4C5B" w:rsidRDefault="006A6A7F" w:rsidP="00CA4C96">
      <w:pPr>
        <w:jc w:val="both"/>
        <w:rPr>
          <w:u w:val="single"/>
        </w:rPr>
      </w:pPr>
      <w:r w:rsidRPr="006A6A7F">
        <w:rPr>
          <w:u w:val="single"/>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rsidR="005E4C5B" w:rsidRDefault="006A6A7F" w:rsidP="00CA4C96">
      <w:pPr>
        <w:jc w:val="both"/>
        <w:rPr>
          <w:u w:val="single"/>
        </w:rPr>
      </w:pPr>
      <w:r w:rsidRPr="006A6A7F">
        <w:rPr>
          <w:u w:val="single"/>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rsidR="005E4C5B" w:rsidRDefault="006A6A7F" w:rsidP="00CA4C96">
      <w:pPr>
        <w:jc w:val="both"/>
        <w:rPr>
          <w:u w:val="single"/>
        </w:rPr>
      </w:pPr>
      <w:r w:rsidRPr="006A6A7F">
        <w:rPr>
          <w:u w:val="single"/>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rsidR="005E4C5B" w:rsidRDefault="006A6A7F" w:rsidP="00CA4C96">
      <w:pPr>
        <w:jc w:val="both"/>
        <w:rPr>
          <w:u w:val="single"/>
        </w:rPr>
      </w:pPr>
      <w:r w:rsidRPr="006A6A7F">
        <w:rPr>
          <w:u w:val="single"/>
        </w:rPr>
        <w:lastRenderedPageBreak/>
        <w:t>PERIODO CONTABLE La vida del organismo se divide en períodos uniformes del año calendario, correspond</w:t>
      </w:r>
      <w:r w:rsidR="005E4C5B">
        <w:rPr>
          <w:u w:val="single"/>
        </w:rPr>
        <w:t>iendo al presente ejercicio 2015</w:t>
      </w:r>
      <w:r w:rsidRPr="006A6A7F">
        <w:rPr>
          <w:u w:val="single"/>
        </w:rPr>
        <w:t>.</w:t>
      </w:r>
    </w:p>
    <w:p w:rsidR="005E4C5B" w:rsidRDefault="006A6A7F" w:rsidP="00CA4C96">
      <w:pPr>
        <w:jc w:val="both"/>
        <w:rPr>
          <w:u w:val="single"/>
        </w:rPr>
      </w:pPr>
      <w:r w:rsidRPr="006A6A7F">
        <w:rPr>
          <w:u w:val="single"/>
        </w:rPr>
        <w:t xml:space="preserve"> VALUACION Todos los eventos que afectaron económicamente al organismo en el periodo que se informa se cuantificaron en términos monetarios y se registraron a costo histórico y en moneda nacional.</w:t>
      </w:r>
    </w:p>
    <w:p w:rsidR="005E4C5B" w:rsidRDefault="006A6A7F" w:rsidP="00CA4C96">
      <w:pPr>
        <w:jc w:val="both"/>
        <w:rPr>
          <w:u w:val="single"/>
        </w:rPr>
      </w:pPr>
      <w:r w:rsidRPr="006A6A7F">
        <w:rPr>
          <w:u w:val="single"/>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rsidR="006A6A7F" w:rsidRPr="00CA4C96" w:rsidRDefault="006A6A7F" w:rsidP="00CA4C96">
      <w:pPr>
        <w:jc w:val="both"/>
        <w:rPr>
          <w:u w:val="single"/>
        </w:rPr>
      </w:pPr>
      <w:r w:rsidRPr="006A6A7F">
        <w:rPr>
          <w:u w:val="single"/>
        </w:rPr>
        <w:t xml:space="preserve">CONSISTENCIA En operaciones similares realizadas en el organismo, se aplicó de manera sistemática un mismo criterio de tratamiento contable. </w:t>
      </w:r>
      <w:r w:rsidR="00CA4C96" w:rsidRPr="00CA4C96">
        <w:rPr>
          <w:u w:val="single"/>
        </w:rPr>
        <w:t>Las Bases de Preparación de los Estados Financieros aplican los Postulados B</w:t>
      </w:r>
      <w:r>
        <w:rPr>
          <w:u w:val="single"/>
        </w:rPr>
        <w:t xml:space="preserve">ásicos </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w:t>
      </w:r>
      <w:r w:rsidR="00657009" w:rsidRPr="00657009">
        <w:rPr>
          <w:rFonts w:cs="Calibri"/>
        </w:rPr>
        <w:t>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informará sobre: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rsidR="007D1E76" w:rsidRPr="002C3759" w:rsidRDefault="002C3759" w:rsidP="007D1E76">
      <w:pPr>
        <w:spacing w:after="0" w:line="240" w:lineRule="auto"/>
        <w:jc w:val="both"/>
        <w:rPr>
          <w:rFonts w:cs="Calibri"/>
          <w:u w:val="single"/>
        </w:rPr>
      </w:pPr>
      <w:r>
        <w:rPr>
          <w:rFonts w:cs="Calibri"/>
          <w:u w:val="single"/>
        </w:rPr>
        <w:t>No se han realizado operaciones  en el extranjero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rsidR="007D1E76" w:rsidRPr="002C3759" w:rsidRDefault="002C3759" w:rsidP="007D1E76">
      <w:pPr>
        <w:spacing w:after="0" w:line="240" w:lineRule="auto"/>
        <w:jc w:val="both"/>
        <w:rPr>
          <w:rFonts w:cs="Calibri"/>
          <w:u w:val="single"/>
        </w:rPr>
      </w:pPr>
      <w:r>
        <w:rPr>
          <w:rFonts w:cs="Calibri"/>
          <w:u w:val="single"/>
        </w:rPr>
        <w:t>No se cuenta con inversiones  en compañías subsidiarias ni asociadas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rsidR="007D1E76" w:rsidRPr="002C3759" w:rsidRDefault="002C3759" w:rsidP="007D1E76">
      <w:pPr>
        <w:spacing w:after="0" w:line="240" w:lineRule="auto"/>
        <w:jc w:val="both"/>
        <w:rPr>
          <w:rFonts w:cs="Calibri"/>
          <w:u w:val="single"/>
        </w:rPr>
      </w:pPr>
      <w:r>
        <w:rPr>
          <w:rFonts w:cs="Calibri"/>
          <w:u w:val="single"/>
        </w:rPr>
        <w:t>No se cuenta con inventarios que deban valuarse para su venta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lastRenderedPageBreak/>
        <w:t>g)</w:t>
      </w:r>
      <w:r w:rsidRPr="00E74967">
        <w:rPr>
          <w:rFonts w:cs="Calibri"/>
        </w:rPr>
        <w:t xml:space="preserve"> Reservas: objetivo de su creación, monto y plazo:</w:t>
      </w:r>
    </w:p>
    <w:p w:rsidR="007D1E76" w:rsidRPr="002C3759" w:rsidRDefault="002C3759" w:rsidP="007D1E76">
      <w:pPr>
        <w:spacing w:after="0" w:line="240" w:lineRule="auto"/>
        <w:jc w:val="both"/>
        <w:rPr>
          <w:rFonts w:cs="Calibri"/>
          <w:u w:val="single"/>
        </w:rPr>
      </w:pPr>
      <w:r>
        <w:rPr>
          <w:rFonts w:cs="Calibri"/>
          <w:u w:val="single"/>
        </w:rPr>
        <w:t>No se cuenta con reservas de ninguna índole.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j)</w:t>
      </w:r>
      <w:r w:rsidRPr="00E74967">
        <w:rPr>
          <w:rFonts w:cs="Calibri"/>
        </w:rPr>
        <w:t xml:space="preserve"> Depuración y cancelación de saldos:</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E00323" w:rsidRPr="00E74967" w:rsidRDefault="00E00323"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7. Posición en Moneda Extranjera y Pro</w:t>
      </w:r>
      <w:r w:rsidR="00E00323" w:rsidRPr="00E74967">
        <w:rPr>
          <w:rFonts w:cs="Calibri"/>
          <w:b/>
        </w:rPr>
        <w:t>tección por Riesgo Cambiario: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informará sobre: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Activos en moneda extranjera:</w:t>
      </w:r>
    </w:p>
    <w:p w:rsidR="002C3759" w:rsidRDefault="002C3759" w:rsidP="007D1E76">
      <w:pPr>
        <w:spacing w:after="0" w:line="240" w:lineRule="auto"/>
        <w:jc w:val="both"/>
        <w:rPr>
          <w:rFonts w:cs="Calibri"/>
          <w:u w:val="single"/>
        </w:rPr>
      </w:pPr>
      <w:r>
        <w:rPr>
          <w:rFonts w:cs="Calibri"/>
          <w:u w:val="single"/>
        </w:rPr>
        <w:t>No se cuenta con activos en moneda extranjera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Pasivos en moneda extranjera:</w:t>
      </w:r>
    </w:p>
    <w:p w:rsidR="007D1E76" w:rsidRDefault="002C3759" w:rsidP="007D1E76">
      <w:pPr>
        <w:spacing w:after="0" w:line="240" w:lineRule="auto"/>
        <w:jc w:val="both"/>
        <w:rPr>
          <w:rFonts w:cs="Calibri"/>
          <w:u w:val="single"/>
        </w:rPr>
      </w:pPr>
      <w:r>
        <w:rPr>
          <w:rFonts w:cs="Calibri"/>
          <w:u w:val="single"/>
        </w:rPr>
        <w:t xml:space="preserve"> 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 xml:space="preserve">c) </w:t>
      </w:r>
      <w:r w:rsidRPr="00E74967">
        <w:rPr>
          <w:rFonts w:cs="Calibri"/>
        </w:rPr>
        <w:t>Posición en moneda extranjera:</w:t>
      </w:r>
    </w:p>
    <w:p w:rsidR="007D1E76"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Tipo de cambio:</w:t>
      </w:r>
    </w:p>
    <w:p w:rsidR="007D1E76" w:rsidRPr="002C3759" w:rsidRDefault="002C3759" w:rsidP="007D1E76">
      <w:pPr>
        <w:spacing w:after="0" w:line="240" w:lineRule="auto"/>
        <w:jc w:val="both"/>
        <w:rPr>
          <w:rFonts w:cs="Calibri"/>
          <w:u w:val="single"/>
        </w:rPr>
      </w:pPr>
      <w:r>
        <w:rPr>
          <w:rFonts w:cs="Calibri"/>
          <w:u w:val="single"/>
        </w:rPr>
        <w:t>No aplica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Equivalente en moneda nacional:</w:t>
      </w:r>
    </w:p>
    <w:p w:rsidR="007D1E76" w:rsidRPr="002C3759" w:rsidRDefault="002C3759" w:rsidP="007D1E76">
      <w:pPr>
        <w:spacing w:after="0" w:line="240" w:lineRule="auto"/>
        <w:jc w:val="both"/>
        <w:rPr>
          <w:rFonts w:cs="Calibri"/>
          <w:u w:val="single"/>
        </w:rPr>
      </w:pPr>
      <w:r>
        <w:rPr>
          <w:rFonts w:cs="Calibri"/>
          <w:u w:val="single"/>
        </w:rPr>
        <w:t>No aplica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Lo anterior por cada tipo de moneda extranjera que se encuentre en los rubros de activo y pasivo.</w:t>
      </w:r>
    </w:p>
    <w:p w:rsidR="007D1E76" w:rsidRPr="00E74967" w:rsidRDefault="007D1E76" w:rsidP="007D1E76">
      <w:pPr>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 xml:space="preserve">8. </w:t>
      </w:r>
      <w:r w:rsidR="00E00323" w:rsidRPr="00E74967">
        <w:rPr>
          <w:rFonts w:cs="Calibri"/>
          <w:b/>
        </w:rPr>
        <w:t>Reporte Analítico del Activo: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Debe mostrar la siguien</w:t>
      </w:r>
      <w:r w:rsidR="00E00323" w:rsidRPr="00E74967">
        <w:rPr>
          <w:rFonts w:cs="Calibri"/>
        </w:rPr>
        <w:t>te información:</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rsidR="007D1E76"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rsidR="002C3759"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rsidR="002C3759" w:rsidRDefault="002C3759" w:rsidP="007D1E76">
      <w:pPr>
        <w:spacing w:after="0" w:line="240" w:lineRule="auto"/>
        <w:jc w:val="both"/>
        <w:rPr>
          <w:rFonts w:cs="Calibri"/>
          <w:u w:val="single"/>
        </w:rPr>
      </w:pPr>
      <w:r>
        <w:rPr>
          <w:rFonts w:cs="Calibri"/>
          <w:u w:val="single"/>
        </w:rPr>
        <w:t>No aplica</w:t>
      </w:r>
    </w:p>
    <w:p w:rsid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rsidR="007D1E76"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rsidR="007D1E76"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rsidR="005E231E"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Inversiones en valores:</w:t>
      </w:r>
    </w:p>
    <w:p w:rsidR="002C3759" w:rsidRPr="002C3759" w:rsidRDefault="002C3759" w:rsidP="007D1E76">
      <w:pPr>
        <w:spacing w:after="0" w:line="240" w:lineRule="auto"/>
        <w:jc w:val="both"/>
        <w:rPr>
          <w:rFonts w:cs="Calibri"/>
          <w:u w:val="single"/>
        </w:rPr>
      </w:pPr>
      <w:r>
        <w:rPr>
          <w:rFonts w:cs="Calibri"/>
          <w:u w:val="single"/>
        </w:rPr>
        <w:t>No aplica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rsidR="007D1E76" w:rsidRPr="002C3759" w:rsidRDefault="002C3759" w:rsidP="007D1E76">
      <w:pPr>
        <w:spacing w:after="0" w:line="240" w:lineRule="auto"/>
        <w:jc w:val="both"/>
        <w:rPr>
          <w:rFonts w:cs="Calibri"/>
          <w:u w:val="single"/>
        </w:rPr>
      </w:pPr>
      <w:r>
        <w:rPr>
          <w:rFonts w:cs="Calibri"/>
          <w:u w:val="single"/>
        </w:rPr>
        <w:t>No aplica</w:t>
      </w:r>
    </w:p>
    <w:p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rsidR="007D1E76" w:rsidRDefault="002C3759" w:rsidP="007D1E76">
      <w:pPr>
        <w:spacing w:after="0" w:line="240" w:lineRule="auto"/>
        <w:jc w:val="both"/>
        <w:rPr>
          <w:rFonts w:cs="Calibri"/>
          <w:u w:val="single"/>
        </w:rPr>
      </w:pPr>
      <w:r>
        <w:rPr>
          <w:rFonts w:cs="Calibri"/>
          <w:u w:val="single"/>
        </w:rPr>
        <w:t>No aplica</w:t>
      </w:r>
    </w:p>
    <w:p w:rsidR="002C3759" w:rsidRPr="002C3759" w:rsidRDefault="002C3759"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rsidR="007D1E76" w:rsidRDefault="00987AAA" w:rsidP="007D1E76">
      <w:pPr>
        <w:spacing w:after="0" w:line="240" w:lineRule="auto"/>
        <w:jc w:val="both"/>
        <w:rPr>
          <w:rFonts w:cs="Calibri"/>
          <w:u w:val="single"/>
        </w:rPr>
      </w:pPr>
      <w:r>
        <w:rPr>
          <w:rFonts w:cs="Calibri"/>
          <w:u w:val="single"/>
        </w:rPr>
        <w:t>No aplica</w:t>
      </w:r>
    </w:p>
    <w:p w:rsidR="00987AAA" w:rsidRPr="00987AAA" w:rsidRDefault="00987AAA"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rsidR="007D1E76" w:rsidRPr="00987AAA" w:rsidRDefault="00987AAA" w:rsidP="007D1E76">
      <w:pPr>
        <w:spacing w:after="0" w:line="240" w:lineRule="auto"/>
        <w:jc w:val="both"/>
        <w:rPr>
          <w:rFonts w:cs="Calibri"/>
          <w:u w:val="single"/>
        </w:rPr>
      </w:pPr>
      <w:r>
        <w:rPr>
          <w:rFonts w:cs="Calibri"/>
          <w:u w:val="single"/>
        </w:rPr>
        <w:t>No aplica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9. Fidei</w:t>
      </w:r>
      <w:r w:rsidR="005E231E" w:rsidRPr="00E74967">
        <w:rPr>
          <w:rFonts w:cs="Calibri"/>
          <w:b/>
        </w:rPr>
        <w:t>comisos, Mandatos y Análogos: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deberá informar:</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Por ramo administrativo que los reporta:</w:t>
      </w:r>
    </w:p>
    <w:p w:rsidR="007D1E76" w:rsidRPr="00987AAA" w:rsidRDefault="00987AAA" w:rsidP="007D1E76">
      <w:pPr>
        <w:spacing w:after="0" w:line="240" w:lineRule="auto"/>
        <w:jc w:val="both"/>
        <w:rPr>
          <w:rFonts w:cs="Calibri"/>
          <w:u w:val="single"/>
        </w:rPr>
      </w:pPr>
      <w:r>
        <w:rPr>
          <w:rFonts w:cs="Calibri"/>
          <w:u w:val="single"/>
        </w:rPr>
        <w:t>No aplica</w:t>
      </w: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rsidR="007D1E76" w:rsidRDefault="00987AAA" w:rsidP="007D1E76">
      <w:pPr>
        <w:spacing w:after="0" w:line="240" w:lineRule="auto"/>
        <w:jc w:val="both"/>
        <w:rPr>
          <w:rFonts w:cs="Calibri"/>
          <w:u w:val="single"/>
        </w:rPr>
      </w:pPr>
      <w:r>
        <w:rPr>
          <w:rFonts w:cs="Calibri"/>
          <w:u w:val="single"/>
        </w:rPr>
        <w:t>No aplica</w:t>
      </w:r>
    </w:p>
    <w:p w:rsidR="00987AAA" w:rsidRPr="00987AAA" w:rsidRDefault="00987AAA" w:rsidP="007D1E76">
      <w:pPr>
        <w:spacing w:after="0" w:line="240" w:lineRule="auto"/>
        <w:jc w:val="both"/>
        <w:rPr>
          <w:rFonts w:cs="Calibri"/>
          <w:u w:val="single"/>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10. Reporte de la Recaudación:</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lastRenderedPageBreak/>
        <w:t>a)</w:t>
      </w:r>
      <w:r w:rsidRPr="00E74967">
        <w:rPr>
          <w:rFonts w:cs="Calibri"/>
        </w:rPr>
        <w:t xml:space="preserve"> Análisis del comportamiento de la recaudación correspondiente al ente público o cualquier tipo de ingreso, de forma separada los ingresos locales de los federales:</w:t>
      </w:r>
    </w:p>
    <w:p w:rsidR="00992299" w:rsidRPr="00992299" w:rsidRDefault="007D1E76" w:rsidP="00992299">
      <w:pPr>
        <w:spacing w:after="0" w:line="240" w:lineRule="auto"/>
        <w:jc w:val="both"/>
        <w:rPr>
          <w:rFonts w:cs="Calibri"/>
          <w:u w:val="single"/>
        </w:rPr>
      </w:pPr>
      <w:r w:rsidRPr="005E1AC5">
        <w:rPr>
          <w:rFonts w:cs="Calibri"/>
          <w:u w:val="single"/>
        </w:rPr>
        <w:t>_</w:t>
      </w:r>
      <w:r w:rsidR="00987AAA" w:rsidRPr="005E1AC5">
        <w:rPr>
          <w:rFonts w:cs="Calibri"/>
          <w:u w:val="single"/>
        </w:rPr>
        <w:t>El ingreso total (Enero – Diciembre) es de 29</w:t>
      </w:r>
      <w:r w:rsidR="00992299" w:rsidRPr="005E1AC5">
        <w:rPr>
          <w:rFonts w:cs="Calibri"/>
          <w:u w:val="single"/>
        </w:rPr>
        <w:t>,</w:t>
      </w:r>
      <w:r w:rsidR="00987AAA" w:rsidRPr="005E1AC5">
        <w:rPr>
          <w:rFonts w:cs="Calibri"/>
          <w:u w:val="single"/>
        </w:rPr>
        <w:t>905,000 el 2.4</w:t>
      </w:r>
      <w:r w:rsidR="00992299" w:rsidRPr="005E1AC5">
        <w:rPr>
          <w:rFonts w:cs="Calibri"/>
          <w:u w:val="single"/>
        </w:rPr>
        <w:t>%  es propio de pro</w:t>
      </w:r>
      <w:r w:rsidR="005E1AC5" w:rsidRPr="005E1AC5">
        <w:rPr>
          <w:rFonts w:cs="Calibri"/>
          <w:u w:val="single"/>
        </w:rPr>
        <w:t>ductos y aprovechamientos; el 48%</w:t>
      </w:r>
      <w:r w:rsidR="00992299" w:rsidRPr="005E1AC5">
        <w:rPr>
          <w:rFonts w:cs="Calibri"/>
          <w:u w:val="single"/>
        </w:rPr>
        <w:t xml:space="preserve"> federal  y el resto es estatal.</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rsidR="00CA4C96" w:rsidRPr="00E74967" w:rsidRDefault="00CA4C9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11. Información sobre la Deuda y el R</w:t>
      </w:r>
      <w:r w:rsidR="005E231E" w:rsidRPr="00E74967">
        <w:rPr>
          <w:rFonts w:cs="Calibri"/>
          <w:b/>
        </w:rPr>
        <w:t>eporte Analítico de la Deuda: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r w:rsidR="00EC40CA">
        <w:rPr>
          <w:rFonts w:cs="Calibri"/>
        </w:rPr>
        <w:t xml:space="preserve"> </w:t>
      </w:r>
      <w:r w:rsidR="00EC40CA" w:rsidRPr="00EC40CA">
        <w:rPr>
          <w:rFonts w:cs="Calibri"/>
          <w:b/>
          <w:u w:val="single"/>
        </w:rPr>
        <w:t>No aplica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rsidR="007D1E76" w:rsidRPr="00E74967" w:rsidRDefault="007D1E76" w:rsidP="007D1E76">
      <w:pPr>
        <w:spacing w:after="0" w:line="240" w:lineRule="auto"/>
        <w:jc w:val="both"/>
        <w:rPr>
          <w:rFonts w:cs="Calibri"/>
        </w:rPr>
      </w:pPr>
      <w:r w:rsidRPr="00E74967">
        <w:rPr>
          <w:rFonts w:cs="Calibri"/>
        </w:rPr>
        <w:t>* Se anexara la informació</w:t>
      </w:r>
      <w:r w:rsidR="005E231E" w:rsidRPr="00E74967">
        <w:rPr>
          <w:rFonts w:cs="Calibri"/>
        </w:rPr>
        <w:t>n en las notas de desglose.</w:t>
      </w:r>
      <w:r w:rsidR="00EC40CA" w:rsidRPr="00EC40CA">
        <w:rPr>
          <w:rFonts w:cs="Calibri"/>
          <w:b/>
          <w:u w:val="single"/>
        </w:rPr>
        <w:t xml:space="preserve"> No aplica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12.</w:t>
      </w:r>
      <w:r w:rsidR="005E231E" w:rsidRPr="00E74967">
        <w:rPr>
          <w:rFonts w:cs="Calibri"/>
          <w:b/>
        </w:rPr>
        <w:t xml:space="preserve"> Calificaciones otorgadas:</w:t>
      </w:r>
    </w:p>
    <w:p w:rsidR="007D1E76" w:rsidRPr="00E74967" w:rsidRDefault="007D1E76" w:rsidP="007D1E76">
      <w:pPr>
        <w:spacing w:after="0" w:line="240" w:lineRule="auto"/>
        <w:jc w:val="both"/>
        <w:rPr>
          <w:rFonts w:cs="Calibri"/>
        </w:rPr>
      </w:pPr>
    </w:p>
    <w:p w:rsidR="00EC40CA" w:rsidRDefault="007D1E76" w:rsidP="007D1E76">
      <w:pPr>
        <w:spacing w:after="0" w:line="240" w:lineRule="auto"/>
        <w:jc w:val="both"/>
        <w:rPr>
          <w:rFonts w:cs="Calibri"/>
        </w:rPr>
      </w:pPr>
      <w:r w:rsidRPr="00E74967">
        <w:rPr>
          <w:rFonts w:cs="Calibri"/>
        </w:rPr>
        <w:t>Informar, tanto del ente público como cualquier transacción realizada, que haya sido sujeta a una cali</w:t>
      </w:r>
      <w:r w:rsidR="00EC40CA">
        <w:rPr>
          <w:rFonts w:cs="Calibri"/>
        </w:rPr>
        <w:t>ficación crediticia:</w:t>
      </w:r>
    </w:p>
    <w:p w:rsidR="007D1E76" w:rsidRDefault="00EC40CA" w:rsidP="007D1E76">
      <w:pPr>
        <w:spacing w:after="0" w:line="240" w:lineRule="auto"/>
        <w:jc w:val="both"/>
        <w:rPr>
          <w:rFonts w:cs="Calibri"/>
        </w:rPr>
      </w:pPr>
      <w:r w:rsidRPr="00EC40CA">
        <w:rPr>
          <w:rFonts w:cs="Calibri"/>
          <w:b/>
          <w:u w:val="single"/>
        </w:rPr>
        <w:t xml:space="preserve"> No aplica</w:t>
      </w:r>
      <w:r w:rsidRPr="00E74967">
        <w:rPr>
          <w:rFonts w:cs="Calibri"/>
        </w:rPr>
        <w:t xml:space="preserve"> </w:t>
      </w:r>
    </w:p>
    <w:p w:rsidR="00EC40CA" w:rsidRPr="00E74967" w:rsidRDefault="00EC40CA"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13. Proceso de Mejora:</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informará de: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Principales Políticas de control interno:</w:t>
      </w:r>
    </w:p>
    <w:p w:rsidR="00CA4C96" w:rsidRDefault="00CA4C96" w:rsidP="00CA4C96">
      <w:pPr>
        <w:jc w:val="both"/>
        <w:rPr>
          <w:rFonts w:ascii="Arial" w:hAnsi="Arial" w:cs="Arial"/>
          <w:sz w:val="20"/>
          <w:szCs w:val="20"/>
          <w:u w:val="single"/>
        </w:rPr>
      </w:pPr>
      <w:r w:rsidRPr="00CA4C96">
        <w:rPr>
          <w:rFonts w:ascii="Arial" w:hAnsi="Arial" w:cs="Arial"/>
          <w:sz w:val="20"/>
          <w:szCs w:val="20"/>
          <w:u w:val="single"/>
        </w:rPr>
        <w:t xml:space="preserve">Se implementara que la totalidad de los pagos a proveedores de bienes y servicios se haga a travez de transferencias electrónicas y en su caso con cheque nominativo para abono en cuenta del beneficiario a fin </w:t>
      </w:r>
    </w:p>
    <w:p w:rsidR="00CA4C96" w:rsidRPr="00CA4C96" w:rsidRDefault="00CA4C96" w:rsidP="00CA4C96">
      <w:pPr>
        <w:jc w:val="both"/>
        <w:rPr>
          <w:rFonts w:ascii="Arial" w:hAnsi="Arial" w:cs="Arial"/>
          <w:sz w:val="20"/>
          <w:szCs w:val="20"/>
          <w:u w:val="single"/>
        </w:rPr>
      </w:pPr>
      <w:r w:rsidRPr="00CA4C96">
        <w:rPr>
          <w:rFonts w:ascii="Arial" w:hAnsi="Arial" w:cs="Arial"/>
          <w:sz w:val="20"/>
          <w:szCs w:val="20"/>
          <w:u w:val="single"/>
        </w:rPr>
        <w:t>Con el apoyo del Sistema de gestión de Calidad , identificamos de manera permanente las áreas de oportunidad en la materia conforme  a los dispuesto en la normativa.de transparentar los pagos realizados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rsidR="00CA4C96" w:rsidRPr="00CA4C96" w:rsidRDefault="00CA4C96" w:rsidP="00CA4C96">
      <w:pPr>
        <w:rPr>
          <w:rFonts w:cs="Calibri"/>
          <w:u w:val="single"/>
        </w:rPr>
      </w:pPr>
      <w:r w:rsidRPr="00CA4C96">
        <w:rPr>
          <w:rFonts w:cs="Calibri"/>
          <w:u w:val="single"/>
        </w:rPr>
        <w:t>Al trabajar con el presupuesto basado en resultados, el análisis de metas, procesos y proyectos del presupuesto de egresos para la entidad es la base para evaluar el desempeño, el cual se reporta en el SED (Sistema de Evaluación al Desempeño).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1</w:t>
      </w:r>
      <w:r w:rsidR="005E231E" w:rsidRPr="00E74967">
        <w:rPr>
          <w:rFonts w:cs="Calibri"/>
          <w:b/>
        </w:rPr>
        <w:t>4. Información por Segmentos: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lastRenderedPageBreak/>
        <w:t>Consecuentemente, esta información contribuye al análisis más preciso de la situación financiera, grados y fuentes de riesgo y crec</w:t>
      </w:r>
      <w:r w:rsidR="005E231E" w:rsidRPr="00E74967">
        <w:rPr>
          <w:rFonts w:cs="Calibri"/>
        </w:rPr>
        <w:t>imiento potencial de negocio.</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15. E</w:t>
      </w:r>
      <w:r w:rsidR="005E231E" w:rsidRPr="00E74967">
        <w:rPr>
          <w:rFonts w:cs="Calibri"/>
          <w:b/>
        </w:rPr>
        <w:t>ventos Posteriores al Cierre:</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rsidR="007D1E76" w:rsidRPr="00E74967" w:rsidRDefault="007D1E76" w:rsidP="007D1E76">
      <w:pPr>
        <w:spacing w:after="0" w:line="240" w:lineRule="auto"/>
        <w:jc w:val="both"/>
        <w:rPr>
          <w:rFonts w:cs="Calibri"/>
        </w:rPr>
      </w:pPr>
    </w:p>
    <w:p w:rsidR="007D1E76" w:rsidRPr="00E74967" w:rsidRDefault="005E231E" w:rsidP="007D1E76">
      <w:pPr>
        <w:spacing w:after="0" w:line="240" w:lineRule="auto"/>
        <w:jc w:val="both"/>
        <w:rPr>
          <w:rFonts w:cs="Calibri"/>
          <w:b/>
        </w:rPr>
      </w:pPr>
      <w:r w:rsidRPr="00E74967">
        <w:rPr>
          <w:rFonts w:cs="Calibri"/>
          <w:b/>
        </w:rPr>
        <w:t>16. Partes Relacionadas:</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rsidR="007D1E76" w:rsidRPr="00E74967" w:rsidRDefault="00EC40CA" w:rsidP="007D1E76">
      <w:pPr>
        <w:spacing w:after="0" w:line="240" w:lineRule="auto"/>
        <w:jc w:val="both"/>
        <w:rPr>
          <w:rFonts w:cs="Calibri"/>
        </w:rPr>
      </w:pPr>
      <w:r w:rsidRPr="00EC40CA">
        <w:rPr>
          <w:rFonts w:cs="Calibri"/>
          <w:b/>
          <w:u w:val="single"/>
        </w:rPr>
        <w:t>No aplica</w:t>
      </w:r>
      <w:r w:rsidRPr="00E74967">
        <w:rPr>
          <w:rFonts w:cs="Calibri"/>
        </w:rPr>
        <w:t xml:space="preserve"> </w:t>
      </w: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b/>
        </w:rPr>
      </w:pPr>
      <w:r w:rsidRPr="00E74967">
        <w:rPr>
          <w:rFonts w:cs="Calibri"/>
          <w:b/>
        </w:rPr>
        <w:t xml:space="preserve">17. </w:t>
      </w:r>
      <w:r w:rsidR="001973A2" w:rsidRPr="001973A2">
        <w:rPr>
          <w:rFonts w:cs="Calibri"/>
          <w:b/>
        </w:rPr>
        <w:t>Responsabilidad Sobre la Presentación Razonable de la Información Contable</w:t>
      </w:r>
      <w:r w:rsidR="005E231E" w:rsidRPr="00E74967">
        <w:rPr>
          <w:rFonts w:cs="Calibri"/>
          <w:b/>
        </w:rPr>
        <w:t>:</w:t>
      </w:r>
    </w:p>
    <w:p w:rsidR="007D1E76" w:rsidRPr="00E74967" w:rsidRDefault="007D1E76" w:rsidP="007D1E76">
      <w:pPr>
        <w:spacing w:after="0" w:line="240" w:lineRule="auto"/>
        <w:jc w:val="both"/>
        <w:rPr>
          <w:rFonts w:cs="Calibri"/>
        </w:rPr>
      </w:pPr>
    </w:p>
    <w:p w:rsidR="007D1E76" w:rsidRPr="00E74967" w:rsidRDefault="001973A2" w:rsidP="007D1E76">
      <w:pPr>
        <w:spacing w:after="0" w:line="240" w:lineRule="auto"/>
        <w:jc w:val="both"/>
        <w:rPr>
          <w:rFonts w:cs="Calibri"/>
        </w:rPr>
      </w:pPr>
      <w:r w:rsidRPr="001973A2">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rsidR="007D1E76" w:rsidRPr="00E74967" w:rsidRDefault="007D1E76" w:rsidP="007D1E76">
      <w:pPr>
        <w:pBdr>
          <w:bottom w:val="single" w:sz="12" w:space="1" w:color="auto"/>
        </w:pBdr>
        <w:spacing w:after="0" w:line="240" w:lineRule="auto"/>
        <w:jc w:val="both"/>
        <w:rPr>
          <w:rFonts w:cs="Calibri"/>
        </w:rPr>
      </w:pPr>
    </w:p>
    <w:p w:rsidR="001C75F2" w:rsidRPr="00E74967" w:rsidRDefault="001C75F2" w:rsidP="007D1E76">
      <w:pPr>
        <w:spacing w:after="0" w:line="240" w:lineRule="auto"/>
        <w:jc w:val="both"/>
        <w:rPr>
          <w:rFonts w:cs="Calibri"/>
        </w:rPr>
      </w:pPr>
    </w:p>
    <w:sectPr w:rsidR="001C75F2" w:rsidRPr="00E74967" w:rsidSect="00BC3E06">
      <w:headerReference w:type="default" r:id="rId11"/>
      <w:pgSz w:w="12240" w:h="15840"/>
      <w:pgMar w:top="1276" w:right="1134" w:bottom="56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6DE" w:rsidRDefault="007526DE" w:rsidP="00E00323">
      <w:pPr>
        <w:spacing w:after="0" w:line="240" w:lineRule="auto"/>
      </w:pPr>
      <w:r>
        <w:separator/>
      </w:r>
    </w:p>
  </w:endnote>
  <w:endnote w:type="continuationSeparator" w:id="0">
    <w:p w:rsidR="007526DE" w:rsidRDefault="007526D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6DE" w:rsidRDefault="007526DE" w:rsidP="00E00323">
      <w:pPr>
        <w:spacing w:after="0" w:line="240" w:lineRule="auto"/>
      </w:pPr>
      <w:r>
        <w:separator/>
      </w:r>
    </w:p>
  </w:footnote>
  <w:footnote w:type="continuationSeparator" w:id="0">
    <w:p w:rsidR="007526DE" w:rsidRDefault="007526DE"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BA3" w:rsidRDefault="00EC40CA" w:rsidP="00154BA3">
    <w:pPr>
      <w:pStyle w:val="Encabezado"/>
      <w:jc w:val="center"/>
    </w:pPr>
    <w:r>
      <w:t>INSTITUTO TECNOLOGICO SUPERIOR DE SALVATIERRA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80E8C"/>
    <w:rsid w:val="000B7810"/>
    <w:rsid w:val="00154BA3"/>
    <w:rsid w:val="001973A2"/>
    <w:rsid w:val="001C75F2"/>
    <w:rsid w:val="001D2063"/>
    <w:rsid w:val="002C3759"/>
    <w:rsid w:val="003308D5"/>
    <w:rsid w:val="004D277A"/>
    <w:rsid w:val="005070DD"/>
    <w:rsid w:val="005D3E43"/>
    <w:rsid w:val="005E1AC5"/>
    <w:rsid w:val="005E231E"/>
    <w:rsid w:val="005E4C5B"/>
    <w:rsid w:val="00623B84"/>
    <w:rsid w:val="0063240F"/>
    <w:rsid w:val="00657009"/>
    <w:rsid w:val="00681C79"/>
    <w:rsid w:val="006A6A7F"/>
    <w:rsid w:val="006C4A0F"/>
    <w:rsid w:val="007526DE"/>
    <w:rsid w:val="007714AB"/>
    <w:rsid w:val="007D1E76"/>
    <w:rsid w:val="0085639E"/>
    <w:rsid w:val="008E076C"/>
    <w:rsid w:val="009555A0"/>
    <w:rsid w:val="00987AAA"/>
    <w:rsid w:val="00992299"/>
    <w:rsid w:val="00BC3E06"/>
    <w:rsid w:val="00CA4C96"/>
    <w:rsid w:val="00CD3A16"/>
    <w:rsid w:val="00D95D8F"/>
    <w:rsid w:val="00DB5A38"/>
    <w:rsid w:val="00E00323"/>
    <w:rsid w:val="00E74967"/>
    <w:rsid w:val="00E92792"/>
    <w:rsid w:val="00EA7915"/>
    <w:rsid w:val="00EC40CA"/>
    <w:rsid w:val="00EF2A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E8D506-1806-41D8-B2B4-870D089B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014838">
      <w:bodyDiv w:val="1"/>
      <w:marLeft w:val="0"/>
      <w:marRight w:val="0"/>
      <w:marTop w:val="0"/>
      <w:marBottom w:val="0"/>
      <w:divBdr>
        <w:top w:val="none" w:sz="0" w:space="0" w:color="auto"/>
        <w:left w:val="none" w:sz="0" w:space="0" w:color="auto"/>
        <w:bottom w:val="none" w:sz="0" w:space="0" w:color="auto"/>
        <w:right w:val="none" w:sz="0" w:space="0" w:color="auto"/>
      </w:divBdr>
      <w:divsChild>
        <w:div w:id="2050259883">
          <w:marLeft w:val="0"/>
          <w:marRight w:val="0"/>
          <w:marTop w:val="0"/>
          <w:marBottom w:val="0"/>
          <w:divBdr>
            <w:top w:val="none" w:sz="0" w:space="0" w:color="auto"/>
            <w:left w:val="none" w:sz="0" w:space="0" w:color="auto"/>
            <w:bottom w:val="none" w:sz="0" w:space="0" w:color="auto"/>
            <w:right w:val="none" w:sz="0" w:space="0" w:color="auto"/>
          </w:divBdr>
          <w:divsChild>
            <w:div w:id="731272121">
              <w:marLeft w:val="0"/>
              <w:marRight w:val="0"/>
              <w:marTop w:val="0"/>
              <w:marBottom w:val="0"/>
              <w:divBdr>
                <w:top w:val="none" w:sz="0" w:space="0" w:color="auto"/>
                <w:left w:val="none" w:sz="0" w:space="0" w:color="auto"/>
                <w:bottom w:val="none" w:sz="0" w:space="0" w:color="auto"/>
                <w:right w:val="none" w:sz="0" w:space="0" w:color="auto"/>
              </w:divBdr>
              <w:divsChild>
                <w:div w:id="70154450">
                  <w:marLeft w:val="0"/>
                  <w:marRight w:val="0"/>
                  <w:marTop w:val="0"/>
                  <w:marBottom w:val="0"/>
                  <w:divBdr>
                    <w:top w:val="none" w:sz="0" w:space="0" w:color="auto"/>
                    <w:left w:val="none" w:sz="0" w:space="0" w:color="auto"/>
                    <w:bottom w:val="none" w:sz="0" w:space="0" w:color="auto"/>
                    <w:right w:val="none" w:sz="0" w:space="0" w:color="auto"/>
                  </w:divBdr>
                  <w:divsChild>
                    <w:div w:id="1540119445">
                      <w:marLeft w:val="0"/>
                      <w:marRight w:val="0"/>
                      <w:marTop w:val="0"/>
                      <w:marBottom w:val="0"/>
                      <w:divBdr>
                        <w:top w:val="none" w:sz="0" w:space="0" w:color="auto"/>
                        <w:left w:val="none" w:sz="0" w:space="0" w:color="auto"/>
                        <w:bottom w:val="none" w:sz="0" w:space="0" w:color="auto"/>
                        <w:right w:val="none" w:sz="0" w:space="0" w:color="auto"/>
                      </w:divBdr>
                      <w:divsChild>
                        <w:div w:id="40371393">
                          <w:marLeft w:val="0"/>
                          <w:marRight w:val="0"/>
                          <w:marTop w:val="0"/>
                          <w:marBottom w:val="0"/>
                          <w:divBdr>
                            <w:top w:val="none" w:sz="0" w:space="0" w:color="auto"/>
                            <w:left w:val="none" w:sz="0" w:space="0" w:color="auto"/>
                            <w:bottom w:val="none" w:sz="0" w:space="0" w:color="auto"/>
                            <w:right w:val="none" w:sz="0" w:space="0" w:color="auto"/>
                          </w:divBdr>
                          <w:divsChild>
                            <w:div w:id="147064425">
                              <w:marLeft w:val="0"/>
                              <w:marRight w:val="0"/>
                              <w:marTop w:val="0"/>
                              <w:marBottom w:val="0"/>
                              <w:divBdr>
                                <w:top w:val="none" w:sz="0" w:space="0" w:color="auto"/>
                                <w:left w:val="none" w:sz="0" w:space="0" w:color="auto"/>
                                <w:bottom w:val="none" w:sz="0" w:space="0" w:color="auto"/>
                                <w:right w:val="none" w:sz="0" w:space="0" w:color="auto"/>
                              </w:divBdr>
                              <w:divsChild>
                                <w:div w:id="272711121">
                                  <w:marLeft w:val="0"/>
                                  <w:marRight w:val="0"/>
                                  <w:marTop w:val="0"/>
                                  <w:marBottom w:val="0"/>
                                  <w:divBdr>
                                    <w:top w:val="none" w:sz="0" w:space="0" w:color="auto"/>
                                    <w:left w:val="none" w:sz="0" w:space="0" w:color="auto"/>
                                    <w:bottom w:val="none" w:sz="0" w:space="0" w:color="auto"/>
                                    <w:right w:val="none" w:sz="0" w:space="0" w:color="auto"/>
                                  </w:divBdr>
                                  <w:divsChild>
                                    <w:div w:id="970135964">
                                      <w:marLeft w:val="0"/>
                                      <w:marRight w:val="0"/>
                                      <w:marTop w:val="0"/>
                                      <w:marBottom w:val="0"/>
                                      <w:divBdr>
                                        <w:top w:val="none" w:sz="0" w:space="0" w:color="auto"/>
                                        <w:left w:val="none" w:sz="0" w:space="0" w:color="auto"/>
                                        <w:bottom w:val="none" w:sz="0" w:space="0" w:color="auto"/>
                                        <w:right w:val="none" w:sz="0" w:space="0" w:color="auto"/>
                                      </w:divBdr>
                                      <w:divsChild>
                                        <w:div w:id="1402874607">
                                          <w:marLeft w:val="0"/>
                                          <w:marRight w:val="0"/>
                                          <w:marTop w:val="0"/>
                                          <w:marBottom w:val="0"/>
                                          <w:divBdr>
                                            <w:top w:val="none" w:sz="0" w:space="0" w:color="auto"/>
                                            <w:left w:val="none" w:sz="0" w:space="0" w:color="auto"/>
                                            <w:bottom w:val="none" w:sz="0" w:space="0" w:color="auto"/>
                                            <w:right w:val="none" w:sz="0" w:space="0" w:color="auto"/>
                                          </w:divBdr>
                                          <w:divsChild>
                                            <w:div w:id="2147383940">
                                              <w:marLeft w:val="0"/>
                                              <w:marRight w:val="0"/>
                                              <w:marTop w:val="0"/>
                                              <w:marBottom w:val="0"/>
                                              <w:divBdr>
                                                <w:top w:val="single" w:sz="12" w:space="2" w:color="FFFFCC"/>
                                                <w:left w:val="single" w:sz="12" w:space="2" w:color="FFFFCC"/>
                                                <w:bottom w:val="single" w:sz="12" w:space="2" w:color="FFFFCC"/>
                                                <w:right w:val="single" w:sz="12" w:space="0" w:color="FFFFCC"/>
                                              </w:divBdr>
                                              <w:divsChild>
                                                <w:div w:id="680156820">
                                                  <w:marLeft w:val="0"/>
                                                  <w:marRight w:val="0"/>
                                                  <w:marTop w:val="0"/>
                                                  <w:marBottom w:val="0"/>
                                                  <w:divBdr>
                                                    <w:top w:val="none" w:sz="0" w:space="0" w:color="auto"/>
                                                    <w:left w:val="none" w:sz="0" w:space="0" w:color="auto"/>
                                                    <w:bottom w:val="none" w:sz="0" w:space="0" w:color="auto"/>
                                                    <w:right w:val="none" w:sz="0" w:space="0" w:color="auto"/>
                                                  </w:divBdr>
                                                  <w:divsChild>
                                                    <w:div w:id="958534989">
                                                      <w:marLeft w:val="0"/>
                                                      <w:marRight w:val="0"/>
                                                      <w:marTop w:val="0"/>
                                                      <w:marBottom w:val="0"/>
                                                      <w:divBdr>
                                                        <w:top w:val="none" w:sz="0" w:space="0" w:color="auto"/>
                                                        <w:left w:val="none" w:sz="0" w:space="0" w:color="auto"/>
                                                        <w:bottom w:val="none" w:sz="0" w:space="0" w:color="auto"/>
                                                        <w:right w:val="none" w:sz="0" w:space="0" w:color="auto"/>
                                                      </w:divBdr>
                                                      <w:divsChild>
                                                        <w:div w:id="289483760">
                                                          <w:marLeft w:val="0"/>
                                                          <w:marRight w:val="0"/>
                                                          <w:marTop w:val="0"/>
                                                          <w:marBottom w:val="0"/>
                                                          <w:divBdr>
                                                            <w:top w:val="none" w:sz="0" w:space="0" w:color="auto"/>
                                                            <w:left w:val="none" w:sz="0" w:space="0" w:color="auto"/>
                                                            <w:bottom w:val="none" w:sz="0" w:space="0" w:color="auto"/>
                                                            <w:right w:val="none" w:sz="0" w:space="0" w:color="auto"/>
                                                          </w:divBdr>
                                                          <w:divsChild>
                                                            <w:div w:id="1208680995">
                                                              <w:marLeft w:val="0"/>
                                                              <w:marRight w:val="0"/>
                                                              <w:marTop w:val="0"/>
                                                              <w:marBottom w:val="0"/>
                                                              <w:divBdr>
                                                                <w:top w:val="none" w:sz="0" w:space="0" w:color="auto"/>
                                                                <w:left w:val="none" w:sz="0" w:space="0" w:color="auto"/>
                                                                <w:bottom w:val="none" w:sz="0" w:space="0" w:color="auto"/>
                                                                <w:right w:val="none" w:sz="0" w:space="0" w:color="auto"/>
                                                              </w:divBdr>
                                                              <w:divsChild>
                                                                <w:div w:id="1446576787">
                                                                  <w:marLeft w:val="0"/>
                                                                  <w:marRight w:val="0"/>
                                                                  <w:marTop w:val="0"/>
                                                                  <w:marBottom w:val="0"/>
                                                                  <w:divBdr>
                                                                    <w:top w:val="none" w:sz="0" w:space="0" w:color="auto"/>
                                                                    <w:left w:val="none" w:sz="0" w:space="0" w:color="auto"/>
                                                                    <w:bottom w:val="none" w:sz="0" w:space="0" w:color="auto"/>
                                                                    <w:right w:val="none" w:sz="0" w:space="0" w:color="auto"/>
                                                                  </w:divBdr>
                                                                  <w:divsChild>
                                                                    <w:div w:id="1079254468">
                                                                      <w:marLeft w:val="0"/>
                                                                      <w:marRight w:val="0"/>
                                                                      <w:marTop w:val="0"/>
                                                                      <w:marBottom w:val="0"/>
                                                                      <w:divBdr>
                                                                        <w:top w:val="none" w:sz="0" w:space="0" w:color="auto"/>
                                                                        <w:left w:val="none" w:sz="0" w:space="0" w:color="auto"/>
                                                                        <w:bottom w:val="none" w:sz="0" w:space="0" w:color="auto"/>
                                                                        <w:right w:val="none" w:sz="0" w:space="0" w:color="auto"/>
                                                                      </w:divBdr>
                                                                      <w:divsChild>
                                                                        <w:div w:id="1228419037">
                                                                          <w:marLeft w:val="0"/>
                                                                          <w:marRight w:val="0"/>
                                                                          <w:marTop w:val="0"/>
                                                                          <w:marBottom w:val="0"/>
                                                                          <w:divBdr>
                                                                            <w:top w:val="none" w:sz="0" w:space="0" w:color="auto"/>
                                                                            <w:left w:val="none" w:sz="0" w:space="0" w:color="auto"/>
                                                                            <w:bottom w:val="none" w:sz="0" w:space="0" w:color="auto"/>
                                                                            <w:right w:val="none" w:sz="0" w:space="0" w:color="auto"/>
                                                                          </w:divBdr>
                                                                          <w:divsChild>
                                                                            <w:div w:id="1253516376">
                                                                              <w:marLeft w:val="0"/>
                                                                              <w:marRight w:val="0"/>
                                                                              <w:marTop w:val="0"/>
                                                                              <w:marBottom w:val="0"/>
                                                                              <w:divBdr>
                                                                                <w:top w:val="none" w:sz="0" w:space="0" w:color="auto"/>
                                                                                <w:left w:val="none" w:sz="0" w:space="0" w:color="auto"/>
                                                                                <w:bottom w:val="none" w:sz="0" w:space="0" w:color="auto"/>
                                                                                <w:right w:val="none" w:sz="0" w:space="0" w:color="auto"/>
                                                                              </w:divBdr>
                                                                              <w:divsChild>
                                                                                <w:div w:id="1538735380">
                                                                                  <w:marLeft w:val="0"/>
                                                                                  <w:marRight w:val="0"/>
                                                                                  <w:marTop w:val="0"/>
                                                                                  <w:marBottom w:val="0"/>
                                                                                  <w:divBdr>
                                                                                    <w:top w:val="none" w:sz="0" w:space="0" w:color="auto"/>
                                                                                    <w:left w:val="none" w:sz="0" w:space="0" w:color="auto"/>
                                                                                    <w:bottom w:val="none" w:sz="0" w:space="0" w:color="auto"/>
                                                                                    <w:right w:val="none" w:sz="0" w:space="0" w:color="auto"/>
                                                                                  </w:divBdr>
                                                                                  <w:divsChild>
                                                                                    <w:div w:id="2024477796">
                                                                                      <w:marLeft w:val="0"/>
                                                                                      <w:marRight w:val="0"/>
                                                                                      <w:marTop w:val="0"/>
                                                                                      <w:marBottom w:val="0"/>
                                                                                      <w:divBdr>
                                                                                        <w:top w:val="none" w:sz="0" w:space="0" w:color="auto"/>
                                                                                        <w:left w:val="none" w:sz="0" w:space="0" w:color="auto"/>
                                                                                        <w:bottom w:val="none" w:sz="0" w:space="0" w:color="auto"/>
                                                                                        <w:right w:val="none" w:sz="0" w:space="0" w:color="auto"/>
                                                                                      </w:divBdr>
                                                                                      <w:divsChild>
                                                                                        <w:div w:id="963930483">
                                                                                          <w:marLeft w:val="0"/>
                                                                                          <w:marRight w:val="120"/>
                                                                                          <w:marTop w:val="0"/>
                                                                                          <w:marBottom w:val="150"/>
                                                                                          <w:divBdr>
                                                                                            <w:top w:val="single" w:sz="2" w:space="0" w:color="EFEFEF"/>
                                                                                            <w:left w:val="single" w:sz="6" w:space="0" w:color="EFEFEF"/>
                                                                                            <w:bottom w:val="single" w:sz="6" w:space="0" w:color="E2E2E2"/>
                                                                                            <w:right w:val="single" w:sz="6" w:space="0" w:color="EFEFEF"/>
                                                                                          </w:divBdr>
                                                                                          <w:divsChild>
                                                                                            <w:div w:id="2145391102">
                                                                                              <w:marLeft w:val="0"/>
                                                                                              <w:marRight w:val="0"/>
                                                                                              <w:marTop w:val="0"/>
                                                                                              <w:marBottom w:val="0"/>
                                                                                              <w:divBdr>
                                                                                                <w:top w:val="none" w:sz="0" w:space="0" w:color="auto"/>
                                                                                                <w:left w:val="none" w:sz="0" w:space="0" w:color="auto"/>
                                                                                                <w:bottom w:val="none" w:sz="0" w:space="0" w:color="auto"/>
                                                                                                <w:right w:val="none" w:sz="0" w:space="0" w:color="auto"/>
                                                                                              </w:divBdr>
                                                                                              <w:divsChild>
                                                                                                <w:div w:id="1895384779">
                                                                                                  <w:marLeft w:val="0"/>
                                                                                                  <w:marRight w:val="0"/>
                                                                                                  <w:marTop w:val="0"/>
                                                                                                  <w:marBottom w:val="0"/>
                                                                                                  <w:divBdr>
                                                                                                    <w:top w:val="none" w:sz="0" w:space="0" w:color="auto"/>
                                                                                                    <w:left w:val="none" w:sz="0" w:space="0" w:color="auto"/>
                                                                                                    <w:bottom w:val="none" w:sz="0" w:space="0" w:color="auto"/>
                                                                                                    <w:right w:val="none" w:sz="0" w:space="0" w:color="auto"/>
                                                                                                  </w:divBdr>
                                                                                                  <w:divsChild>
                                                                                                    <w:div w:id="311371174">
                                                                                                      <w:marLeft w:val="0"/>
                                                                                                      <w:marRight w:val="0"/>
                                                                                                      <w:marTop w:val="0"/>
                                                                                                      <w:marBottom w:val="0"/>
                                                                                                      <w:divBdr>
                                                                                                        <w:top w:val="none" w:sz="0" w:space="0" w:color="auto"/>
                                                                                                        <w:left w:val="none" w:sz="0" w:space="0" w:color="auto"/>
                                                                                                        <w:bottom w:val="none" w:sz="0" w:space="0" w:color="auto"/>
                                                                                                        <w:right w:val="none" w:sz="0" w:space="0" w:color="auto"/>
                                                                                                      </w:divBdr>
                                                                                                      <w:divsChild>
                                                                                                        <w:div w:id="1627851086">
                                                                                                          <w:marLeft w:val="0"/>
                                                                                                          <w:marRight w:val="0"/>
                                                                                                          <w:marTop w:val="0"/>
                                                                                                          <w:marBottom w:val="0"/>
                                                                                                          <w:divBdr>
                                                                                                            <w:top w:val="none" w:sz="0" w:space="0" w:color="auto"/>
                                                                                                            <w:left w:val="none" w:sz="0" w:space="0" w:color="auto"/>
                                                                                                            <w:bottom w:val="none" w:sz="0" w:space="0" w:color="auto"/>
                                                                                                            <w:right w:val="none" w:sz="0" w:space="0" w:color="auto"/>
                                                                                                          </w:divBdr>
                                                                                                          <w:divsChild>
                                                                                                            <w:div w:id="1999458018">
                                                                                                              <w:marLeft w:val="0"/>
                                                                                                              <w:marRight w:val="0"/>
                                                                                                              <w:marTop w:val="0"/>
                                                                                                              <w:marBottom w:val="0"/>
                                                                                                              <w:divBdr>
                                                                                                                <w:top w:val="none" w:sz="0" w:space="0" w:color="auto"/>
                                                                                                                <w:left w:val="none" w:sz="0" w:space="0" w:color="auto"/>
                                                                                                                <w:bottom w:val="none" w:sz="0" w:space="0" w:color="auto"/>
                                                                                                                <w:right w:val="none" w:sz="0" w:space="0" w:color="auto"/>
                                                                                                              </w:divBdr>
                                                                                                              <w:divsChild>
                                                                                                                <w:div w:id="401756379">
                                                                                                                  <w:marLeft w:val="0"/>
                                                                                                                  <w:marRight w:val="0"/>
                                                                                                                  <w:marTop w:val="0"/>
                                                                                                                  <w:marBottom w:val="0"/>
                                                                                                                  <w:divBdr>
                                                                                                                    <w:top w:val="single" w:sz="2" w:space="4" w:color="D8D8D8"/>
                                                                                                                    <w:left w:val="single" w:sz="2" w:space="0" w:color="D8D8D8"/>
                                                                                                                    <w:bottom w:val="single" w:sz="2" w:space="4" w:color="D8D8D8"/>
                                                                                                                    <w:right w:val="single" w:sz="2" w:space="0" w:color="D8D8D8"/>
                                                                                                                  </w:divBdr>
                                                                                                                  <w:divsChild>
                                                                                                                    <w:div w:id="1643273600">
                                                                                                                      <w:marLeft w:val="225"/>
                                                                                                                      <w:marRight w:val="225"/>
                                                                                                                      <w:marTop w:val="75"/>
                                                                                                                      <w:marBottom w:val="75"/>
                                                                                                                      <w:divBdr>
                                                                                                                        <w:top w:val="none" w:sz="0" w:space="0" w:color="auto"/>
                                                                                                                        <w:left w:val="none" w:sz="0" w:space="0" w:color="auto"/>
                                                                                                                        <w:bottom w:val="none" w:sz="0" w:space="0" w:color="auto"/>
                                                                                                                        <w:right w:val="none" w:sz="0" w:space="0" w:color="auto"/>
                                                                                                                      </w:divBdr>
                                                                                                                      <w:divsChild>
                                                                                                                        <w:div w:id="1920366800">
                                                                                                                          <w:marLeft w:val="0"/>
                                                                                                                          <w:marRight w:val="0"/>
                                                                                                                          <w:marTop w:val="0"/>
                                                                                                                          <w:marBottom w:val="0"/>
                                                                                                                          <w:divBdr>
                                                                                                                            <w:top w:val="single" w:sz="6" w:space="0" w:color="auto"/>
                                                                                                                            <w:left w:val="single" w:sz="6" w:space="0" w:color="auto"/>
                                                                                                                            <w:bottom w:val="single" w:sz="6" w:space="0" w:color="auto"/>
                                                                                                                            <w:right w:val="single" w:sz="6" w:space="0" w:color="auto"/>
                                                                                                                          </w:divBdr>
                                                                                                                          <w:divsChild>
                                                                                                                            <w:div w:id="1591742651">
                                                                                                                              <w:marLeft w:val="0"/>
                                                                                                                              <w:marRight w:val="0"/>
                                                                                                                              <w:marTop w:val="0"/>
                                                                                                                              <w:marBottom w:val="0"/>
                                                                                                                              <w:divBdr>
                                                                                                                                <w:top w:val="none" w:sz="0" w:space="0" w:color="auto"/>
                                                                                                                                <w:left w:val="none" w:sz="0" w:space="0" w:color="auto"/>
                                                                                                                                <w:bottom w:val="none" w:sz="0" w:space="0" w:color="auto"/>
                                                                                                                                <w:right w:val="none" w:sz="0" w:space="0" w:color="auto"/>
                                                                                                                              </w:divBdr>
                                                                                                                              <w:divsChild>
                                                                                                                                <w:div w:id="1610041335">
                                                                                                                                  <w:marLeft w:val="0"/>
                                                                                                                                  <w:marRight w:val="0"/>
                                                                                                                                  <w:marTop w:val="0"/>
                                                                                                                                  <w:marBottom w:val="0"/>
                                                                                                                                  <w:divBdr>
                                                                                                                                    <w:top w:val="none" w:sz="0" w:space="0" w:color="auto"/>
                                                                                                                                    <w:left w:val="none" w:sz="0" w:space="0" w:color="auto"/>
                                                                                                                                    <w:bottom w:val="none" w:sz="0" w:space="0" w:color="auto"/>
                                                                                                                                    <w:right w:val="none" w:sz="0" w:space="0" w:color="auto"/>
                                                                                                                                  </w:divBdr>
                                                                                                                                  <w:divsChild>
                                                                                                                                    <w:div w:id="94443461">
                                                                                                                                      <w:marLeft w:val="0"/>
                                                                                                                                      <w:marRight w:val="0"/>
                                                                                                                                      <w:marTop w:val="0"/>
                                                                                                                                      <w:marBottom w:val="0"/>
                                                                                                                                      <w:divBdr>
                                                                                                                                        <w:top w:val="none" w:sz="0" w:space="0" w:color="auto"/>
                                                                                                                                        <w:left w:val="none" w:sz="0" w:space="0" w:color="auto"/>
                                                                                                                                        <w:bottom w:val="none" w:sz="0" w:space="0" w:color="auto"/>
                                                                                                                                        <w:right w:val="none" w:sz="0" w:space="0" w:color="auto"/>
                                                                                                                                      </w:divBdr>
                                                                                                                                      <w:divsChild>
                                                                                                                                        <w:div w:id="58464779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lquiroz\AppData\Local\Microsoft\Windows\Temporary%20Internet%20Files\Content.Outlook\HBGSO9P3\MODELO%20CTA%202013.pp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20DF-3553-48A7-A8F4-301367B92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2595</Words>
  <Characters>14277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16839</CharactersWithSpaces>
  <SharedDoc>false</SharedDoc>
  <HLinks>
    <vt:vector size="6" baseType="variant">
      <vt:variant>
        <vt:i4>5898264</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RH_Karla</cp:lastModifiedBy>
  <cp:revision>2</cp:revision>
  <cp:lastPrinted>2015-04-22T17:22:00Z</cp:lastPrinted>
  <dcterms:created xsi:type="dcterms:W3CDTF">2018-05-08T18:24:00Z</dcterms:created>
  <dcterms:modified xsi:type="dcterms:W3CDTF">2018-05-08T18:24:00Z</dcterms:modified>
</cp:coreProperties>
</file>